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D1" w:rsidRPr="00FC0D14" w:rsidRDefault="005A7CD1" w:rsidP="0062616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ПРАВИТЕЛЬСТВО САРАТОВСКОЙ ОБЛАСТИ</w:t>
      </w:r>
    </w:p>
    <w:p w:rsidR="005A7CD1" w:rsidRPr="00FC0D14" w:rsidRDefault="005A7CD1" w:rsidP="006261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A7CD1" w:rsidRPr="00FC0D14" w:rsidRDefault="005A7CD1" w:rsidP="006261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 17 июля 2017 г. </w:t>
      </w:r>
      <w:r w:rsidR="0062616B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362-П</w:t>
      </w:r>
    </w:p>
    <w:p w:rsidR="005A7CD1" w:rsidRPr="00FC0D14" w:rsidRDefault="005A7CD1" w:rsidP="006261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E3527" w:rsidRPr="00FC0D14" w:rsidRDefault="007E3527" w:rsidP="006261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 реализации на территории Саратовской области инициативных проектов с использованием средств областного бюджета </w:t>
      </w:r>
    </w:p>
    <w:p w:rsidR="005A7CD1" w:rsidRPr="00FC0D14" w:rsidRDefault="005A7CD1" w:rsidP="006261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5A7CD1" w:rsidRPr="00FC0D14" w:rsidTr="007E3527">
        <w:tc>
          <w:tcPr>
            <w:tcW w:w="9354" w:type="dxa"/>
          </w:tcPr>
          <w:p w:rsidR="005A7CD1" w:rsidRPr="00FC0D14" w:rsidRDefault="005A7CD1" w:rsidP="006261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5A7CD1" w:rsidRPr="00FC0D14" w:rsidRDefault="005A7CD1" w:rsidP="006261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(в ред. постановлений Правительства Саратовской области</w:t>
            </w:r>
            <w:proofErr w:type="gramEnd"/>
          </w:p>
          <w:p w:rsidR="00FC0D14" w:rsidRPr="00FC0D14" w:rsidRDefault="007E3527" w:rsidP="00FC0D14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0"/>
              </w:rPr>
            </w:pP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</w:t>
            </w:r>
            <w:r w:rsidR="00FC0D14"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от 10.08.2017 </w:t>
            </w:r>
            <w:r w:rsidR="00FC0D14"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="00FC0D14"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411-П, от 14.12.2017 </w:t>
            </w:r>
            <w:r w:rsidR="00FC0D14"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="00FC0D14"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652-П, от 03.04.2018 </w:t>
            </w:r>
            <w:r w:rsidR="00FC0D14"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="00FC0D14"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162-П,</w:t>
            </w:r>
          </w:p>
          <w:p w:rsidR="00FC0D14" w:rsidRPr="00FC0D14" w:rsidRDefault="00FC0D14" w:rsidP="00FC0D14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0"/>
              </w:rPr>
            </w:pP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от 13.06.2018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325-П, от 20.11.2018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631-П, от 11.12.2018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683-П,</w:t>
            </w:r>
          </w:p>
          <w:p w:rsidR="00FC0D14" w:rsidRPr="00FC0D14" w:rsidRDefault="00FC0D14" w:rsidP="00FC0D14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0"/>
              </w:rPr>
            </w:pP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от 12.04.2019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253-П, от 03.10.2019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701-П, от 24.12.2019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912-П,</w:t>
            </w:r>
          </w:p>
          <w:p w:rsidR="00FC0D14" w:rsidRPr="00FC0D14" w:rsidRDefault="00FC0D14" w:rsidP="00FC0D14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0"/>
              </w:rPr>
            </w:pP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от 16.04.2020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285-П, от 28.09.2020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805-П, от 24.12.2020 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№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 xml:space="preserve"> 1028-П), </w:t>
            </w:r>
          </w:p>
          <w:p w:rsidR="005A7CD1" w:rsidRPr="00FC0D14" w:rsidRDefault="00FC0D14" w:rsidP="00FC0D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от 01.02.2021 № 50-П</w:t>
            </w:r>
            <w:r w:rsidRPr="00FC0D14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C0D14" w:rsidRPr="00FC0D14"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FC0D14">
        <w:rPr>
          <w:rFonts w:ascii="Times New Roman" w:hAnsi="Times New Roman" w:cs="Times New Roman"/>
          <w:sz w:val="26"/>
          <w:szCs w:val="26"/>
        </w:rPr>
        <w:t xml:space="preserve">(Основного Закона) Саратовской области и </w:t>
      </w:r>
      <w:r w:rsidR="00FC0D14" w:rsidRPr="00FC0D14">
        <w:rPr>
          <w:rFonts w:ascii="Times New Roman" w:hAnsi="Times New Roman" w:cs="Times New Roman"/>
          <w:sz w:val="26"/>
          <w:szCs w:val="26"/>
        </w:rPr>
        <w:t>Закона Саратовской области «</w:t>
      </w:r>
      <w:r w:rsidRPr="00FC0D14">
        <w:rPr>
          <w:rFonts w:ascii="Times New Roman" w:hAnsi="Times New Roman" w:cs="Times New Roman"/>
          <w:sz w:val="26"/>
          <w:szCs w:val="26"/>
        </w:rPr>
        <w:t>О бюджетном процессе в Саратовской области</w:t>
      </w:r>
      <w:r w:rsidR="00FC0D14" w:rsidRPr="00FC0D14">
        <w:rPr>
          <w:rFonts w:ascii="Times New Roman" w:hAnsi="Times New Roman" w:cs="Times New Roman"/>
          <w:sz w:val="26"/>
          <w:szCs w:val="26"/>
        </w:rPr>
        <w:t>»</w:t>
      </w:r>
      <w:r w:rsidRPr="00FC0D14">
        <w:rPr>
          <w:rFonts w:ascii="Times New Roman" w:hAnsi="Times New Roman" w:cs="Times New Roman"/>
          <w:sz w:val="26"/>
          <w:szCs w:val="26"/>
        </w:rPr>
        <w:t xml:space="preserve"> в целях содействия решению вопросов местного значения, вовлечения населения области в процессы местного самоуправления Правительство области постановляет: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1. </w:t>
      </w:r>
      <w:r w:rsidR="007E3527" w:rsidRPr="00FC0D14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 согласно приложению № 1. 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2. </w:t>
      </w:r>
      <w:r w:rsidR="007E3527" w:rsidRPr="00FC0D14">
        <w:rPr>
          <w:rFonts w:ascii="Times New Roman" w:hAnsi="Times New Roman" w:cs="Times New Roman"/>
          <w:sz w:val="26"/>
          <w:szCs w:val="26"/>
        </w:rPr>
        <w:t xml:space="preserve">Создать конкурсную комиссию по проведению конкурсного отбора инициативных проектов для предоставления из областного бюджета субсидии на их реализацию (далее – Конкурсный отбор) в составе согласно приложению № 2. 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3. </w:t>
      </w:r>
      <w:r w:rsidR="007E3527" w:rsidRPr="00FC0D14">
        <w:rPr>
          <w:rFonts w:ascii="Times New Roman" w:hAnsi="Times New Roman" w:cs="Times New Roman"/>
          <w:sz w:val="26"/>
          <w:szCs w:val="26"/>
        </w:rPr>
        <w:t>Утвердить Положение о конкурсной комиссии по проведению конкурсного отбора инициативных проектов для предоставления из областного бюджета субсидии на их реализацию согласно приложению № 3.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4. Министерству по делам территориальных образований области: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оказывать содействие муниципальным образованиям области по вопросам участия в Конкурсном отборе;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обеспечивать организационное сопровождение деятельности конкурсной комиссии по проведению Конкурсного отбора.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5. Министерству по делам территориальных образований области, министерству строительства и жилищно-коммунального хозяйства области, министерству культуры области, министерству транспорта и дорожного хозяйства области, министерству молодежной политики и спорта области оказывать содействие муниципальным образованиям области в подготовке заявок на участие в Конкурсном отборе.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6. Определить министерство финансов области уполномоченным органом по предоставлению из областного бюджета субсидии бюджетам городских округов, городских и сельских поселений области на реализацию </w:t>
      </w:r>
      <w:r w:rsidR="007E3527" w:rsidRPr="00FC0D14">
        <w:rPr>
          <w:rFonts w:ascii="Times New Roman" w:hAnsi="Times New Roman" w:cs="Times New Roman"/>
          <w:sz w:val="26"/>
          <w:szCs w:val="26"/>
        </w:rPr>
        <w:t xml:space="preserve">инициативных </w:t>
      </w:r>
      <w:r w:rsidRPr="00FC0D14">
        <w:rPr>
          <w:rFonts w:ascii="Times New Roman" w:hAnsi="Times New Roman" w:cs="Times New Roman"/>
          <w:sz w:val="26"/>
          <w:szCs w:val="26"/>
        </w:rPr>
        <w:t>проектов.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7.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подписания.</w:t>
      </w:r>
    </w:p>
    <w:p w:rsidR="005A7CD1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0D14" w:rsidRPr="00FC0D14" w:rsidRDefault="00FC0D14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FC0D14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C0D14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Губернатора Саратовской области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В.В.РАДАЕВ</w:t>
      </w: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Правительства Саратовской области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 17 июля 2017 г.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362-П</w:t>
      </w: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2616B" w:rsidRPr="00FC0D14" w:rsidRDefault="0062616B" w:rsidP="00626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46"/>
      <w:bookmarkEnd w:id="0"/>
      <w:r w:rsidRPr="00FC0D14">
        <w:rPr>
          <w:rFonts w:ascii="Times New Roman" w:hAnsi="Times New Roman" w:cs="Times New Roman"/>
          <w:b/>
          <w:sz w:val="26"/>
          <w:szCs w:val="26"/>
        </w:rPr>
        <w:t>Положение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</w:t>
      </w:r>
    </w:p>
    <w:p w:rsidR="0062616B" w:rsidRPr="00FC0D14" w:rsidRDefault="0062616B" w:rsidP="0062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устанавливает порядок предоставления и распределения субсидии бюджетам городских округов, городских и сельских поселений области на реализацию инициативных проектов (далее – субсидия).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Субсидия предоставляется бюджетам городских округов, городских и сельских поселений области (далее - муниципальные образования) по результатам конкурсного отбора инициативных проектов (далее – Конкурсный отбор) в целях </w:t>
      </w:r>
      <w:proofErr w:type="spell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расходных обязательств муниципальных образований по реализации инициативных проектов при соблюдении следующих условий: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 и инициативные платежи;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Информационное сообщение о проведении Конкурсного отбора размещается на официальном портале Правительства области в информационно-телекоммуникационной сети Интернет не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двадцать дней до даты окончания подачи заявок на участие в Конкурсном отборе. Информационное сообщение должно содержать сведения о месте, дате и времени начала и окончания приема заявок.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63"/>
      <w:bookmarkEnd w:id="1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рамках Конкурсного отбора рассматриваются инициативные проекты: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направленные на решение вопросов местного значения городских округов, городских и сельских поселений, определенных пунктами 4 (в части организации в границах поселения водоснабжения населения, водоотведения), 9, 12, 13, 13.1, 14, 15, 18, 19 (в части организации благоустройства территории поселения), 22 части 1 статьи 14, пунктами 4 (в части организации в границах городского округа водоснабжения населения, водоотведения), 10, 17, 17.1, 18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19, 20, 23, 24, 25 (в части организации благоустройства территории городского округа) части 1 статьи 16 Федерального закона от 6 октября 2003 года № 131-ФЗ «Об общих принципах организации местного самоуправления в Российской Федерации», пунктами 1, 3 - 7 статьи 1 Закона Саратовской области от 30 сентября 2014 года № 108-ЗСО «О</w:t>
      </w:r>
      <w:r w:rsid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вопросах местного значения сельских поселений Саратовской области»;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финансовое обеспечение которых за счет средств местного бюджета составляет не менее 10 процентов от стоимости инициативного проекта, за счет средств населения не менее 5 процентов от стоимости инициативного проекта для городского округа, городского поселения и не менее 3 процентов от стоимости инициативного проекта для сельского поселения;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не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финансируемые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других направлений расходов областного 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бюджета;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 сроком завершения реализации не позднее 14 декабря текущего года.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65"/>
      <w:bookmarkEnd w:id="2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Размер субсидии для </w:t>
      </w:r>
      <w:proofErr w:type="spell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одного инициативного проекта не может превышать: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образований численностью не более 20 тыс. человек - 1,0 млн. рублей;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образований численностью свыше 20 тыс. человек, но не более 50 тыс. человек - 2,0 млн. рублей;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образований численностью свыше 50 тыс. человек - 3,0 млн. рублей;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Для Конкурсного отбора от одного муниципального образования в течение одного финансового года может быть представлен только один инициативный проект.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период с 2013 года муниципальное образование проходило процедуру преобразования в форме объединения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и устанавливающим порядок преобразования законом Саратовской области, оно имеет право представить для Конкурсного отбора инициативные проекты в количестве, соответствующем числу преобразованных муниципальных образований, за исключением случая, указанного в абзаце третьем настоящего пункта.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Городские округа с численностью населения более 300 тыс. человек имеют право представить для участия в Конкурсном отборе проекты, реализация которых предполагается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части территории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имевшей статус муниципального образования до 1 января 2020 года и вошедшей в состав городского округа. 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указанных в абзацах втором и третьем настоящего пункта случаях максимальный размер субсидии для </w:t>
      </w:r>
      <w:proofErr w:type="spell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инициативного проекта определяется исходя из численности населения, проживающего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соответствующей части территории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71"/>
      <w:bookmarkEnd w:id="3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Для участия в Конкурсном отборе необходимы следующие документы: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73"/>
      <w:bookmarkEnd w:id="4"/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копия протокола схода, собрания или конференции граждан, копии результатов опроса граждан и (или) копии подписных листов, подтверждающих поддержку инициативного проекта жителями муниципального образования или его части (в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инициативного проекта путем опроса граждан, сбора их подписей);  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выписка из решения о местном бюджете (сводной бюджетной росписи местного бюджета), подтверждающая наличие бюджетных ассигнований на исполнение расходных обязательств муниципального образования, в целях </w:t>
      </w:r>
      <w:proofErr w:type="spell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предоставляется субсидия, в объеме, необходимом для их исполнения, включая инициативные платежи;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гарантийные письма от индивидуальных предпринимателей и (или) юридических лиц о планируемом (возможном) финансовом, имущественном и (или) трудовом участии в реализации инициативного проекта (при наличии);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 отношении объекта, предлагаемого для реализации в рамках инициативного проекта (далее – Объект):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объектам недвижимости - сведения о правах на Объект или земельный участок, на котором размещен (планируется разместить) Объект, или решение о предварительном согласовании предоставления земельного участка и гарантийное 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письмо с обязательством регистрации права собственности на указанный земельный участок;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иным объектам, непосредственно располагаемым на земельных участках, - разрешения на использование земель или земельного участка или иные документы в соответствии со статьями 39.34, 39.36 Земельного кодекса Российской Федерации и нормативным правовым актом области, утверждающим порядок и условия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документы, подтверждающие полную стоимость инициативного проекта, включая планируемое имущественное и (или) трудовое участие заинтересованных лиц в реализации данного инициативного проекта (проектно-сметная документация и (или) заключение о достоверности определения сметной стоимости (в случаях, установленных законодательством), прайс-лист, коммерческое предложение на закупаемые товары и т.п.);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копия нормативного правового акта представительного органа муниципального образования, устанавливающего порядок определения части территории муниципального образования, на котором могут реализовываться инициативные проекты (в случае реализации инициативного проекта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части территории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образования); 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копия нормативного правового акта представительного органа муниципального образования, предусматривающего возможность выявления мнения граждан по вопросу о поддержке инициативного проекта путем опроса граждан, сбора их подписей (в случае представления в соответствии с подпунктом «а» настоящего пункта копии результатов опроса граждан и (или) копии подписных листов, подтверждающих поддержку инициативного проекта жителями муниципального образования или его части); 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з) копия нормативного правового акта представительного органа муниципального образования, устанавливающего минимальную численность инициативных групп граждан и (или) иные требования к инициаторам проекта (при их принятии в соответствии с частью 2 статьи 26.1 Федерального закона от 6</w:t>
      </w:r>
      <w:r w:rsid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2003 года № 131-ФЗ «Об общих принципах организации местного самоуправления в Российской Федерации»);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и) фотографии (на электронном носителе) и иные документы, свидетельствующие о текущем состоянии объекта, предлагаемого для реализации в рамках инициативного проекта;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к) фотографии (на электронном носителе), видеозаписи (при наличии), подтверждающие проведение схода, собрания или конференции граждан, опроса граждан, сбора их подписей по вопросам реализации инициативного проекта;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л) документы (публикации, фотографии на электронном носителе и т.д.), подтверждающие фактическое использование средств массовой информации или иных способов информирования населения по вопросам реализации инициативного проекта (с помощью информационных стендов, публикаций в газетах, посредством телевидения, радио, размещения информации в информационно-телекоммуникационной сети Интернет, социальных сетях) (при наличии).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конкурсном отборе муниципальные образования представляют в министерство по делам территориальных образований области заявку, содержащую инициативный проект по форме согласно приложению № 1 к настоящему Положению и документы, указанные в подпунктах «а», «б», «в», «г» (за исключением документов о правах на объекты недвижимости, зарегистрированных в Едином государственном реестре недвижимости), «д», «и», 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«к», «л» пункта 7 настоящего Положения. 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образования вправе по собственной инициативе представить документы, указанные в подпунктах «г» (в части документов о правах на объекты недвижимости, зарегистрированных в Едином государственном реестре недвижимости), «е», «ж», «з» пункта 7 настоящего Положения.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указанные в абзацах первом и втором настоящего пункта, представляются на бумажном носителе (за исключением документов, указанных в подпунктах «и» (в части фотографий), «к», «л» пункта 7 настоящего Положения), а также в электронном виде.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представленные на бумажном носителе, должны быть заверены подписью главы муниципального образования (главы администрации муниципального образования) (далее - глава) и печатью (при наличии печати) и сброшюрованы. При наличии в документах исправлений, они должны быть заверены подписью главы и печатью (при наличии печати).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на электронном носителе представляются с сопроводительным письмом за подписью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подтверждением достоверности представленной в электронном виде информации.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по делам территориальных образований области осуществляет регистрацию представленных муниципальными образованиями заявок и в течение одного рабочего дня передает их, включая документы, указанные в абзацах первом и втором (при наличии) </w:t>
      </w:r>
      <w:hyperlink w:anchor="P71" w:history="1">
        <w:r w:rsidRPr="00FC0D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</w:t>
        </w:r>
      </w:hyperlink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8 настоящего Положения, в конкурсную комиссию по проведению конкурсного отбора инициативных проектов для предоставления из областного бюджета  субсидии на их реализацию  (далее –  конкурсная комиссия) для рассмотрения.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муниципальным образованием документов, указанных в абзаце втором пункта 8 настоящего Положения, министерство по делам территориальных образований области в течение 1 рабочего дня запрашивает в рамках межведомственного взаимодействия сведения из Единого государственного реестра недвижимости и (или) осуществляет создание электронной копии нормативных правовых актов, предусмотренных подпунктами «е» - «з» пункта 7 настоящего Положения, согласно сведениям, указанным в приложении № 2 к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инициативному проекту. Указанные сведения и (или) копии нормативных правовых актов направляются членам конкурсной комиссии в течение 1 рабочего дня после их получения (создания).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Муниципальное образование до окончания срока приема заявок имеет право отозвать свою заявку и отказаться от участия в конкурсе, письменно сообщив об этом в министерство по делам территориальных образований области.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Основаниями для отказа в поддержке инициативного проекта являются: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несоответствие  инициативного проекта требованиям, указанным в </w:t>
      </w:r>
      <w:hyperlink w:anchor="P63" w:history="1">
        <w:r w:rsidRPr="00FC0D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пунктах </w:t>
        </w:r>
      </w:hyperlink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4 - </w:t>
      </w:r>
      <w:hyperlink w:anchor="P65" w:history="1">
        <w:r w:rsidRPr="00FC0D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непредставление (представление не в полном объеме) документов, установленных абзацем первым пункта 8 настоящего Положения, и (или) несоответствие их требованиям, установленным абзацами третьим-четвертым пункта 8 настоящего Положения;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установление факта недостоверности представленных муниципальным образованием сведений, в том числе сведений, указанных в приложении № 2 к инициативному проекту; 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признание инициативного проекта не прошедшим конкурсный отбор.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95"/>
      <w:bookmarkEnd w:id="5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осуществляет рассмотрение инициативных проектов и представленных документов на предмет их соответствия требованиям, установленным пунктами 4 - 8 настоящего Положения, и при отсутствии оснований к отказу в поддержке инициативного проекта, установленных 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подпунктами «а» - «в» пункта 11 настоящего Положения их оценку в соответствии с балльной </w:t>
      </w:r>
      <w:hyperlink w:anchor="P793" w:history="1">
        <w:r w:rsidRPr="00FC0D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шкалой</w:t>
        </w:r>
      </w:hyperlink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инициативных проектов согласно приложению № 2 к настоящему Положению в течение </w:t>
      </w:r>
      <w:r w:rsidRPr="00FC0D14">
        <w:rPr>
          <w:rFonts w:ascii="Times New Roman" w:eastAsia="Times New Roman" w:hAnsi="Times New Roman" w:cs="Times New Roman"/>
          <w:sz w:val="26"/>
          <w:szCs w:val="26"/>
          <w:shd w:val="clear" w:color="auto" w:fill="F2F2F2" w:themeFill="background1" w:themeFillShade="F2"/>
          <w:lang w:eastAsia="ru-RU"/>
        </w:rPr>
        <w:t xml:space="preserve">пятидесяти 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 дней с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окончания срока приема заявок.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Субсидия распределяется между муниципальными образованиями области, набравшими по результатам оценки в соответствии с балльной шкалой оценки инициативных проектов, наибольшее количество баллов, в пределах бюджетных ассигнований, предусмотренных законом области об областном бюджете на соответствующий год и плановый период на указанные цели. В случае равного количества набранных баллов преимущественное право на получение субсидии имеет муниципальное образование, представившее инициативный проект на участие в Конкурсном отборе ранее других участников.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комиссией готовятся предложения по распределению субсидии между муниципальными образованиями области, инициативные проекты которых прошли Конкурсный отбор, которые направляются в уполномоченный орган по предоставлению из областного бюджета субсидии бюджетам городских округов, городских и сельских поселений области на реализацию инициативных проектов (далее – уполномоченный орган). Уполномоченный орган готовит проект правового акта о распределении субсидии между муниципальными образованиями области и в установленном порядке вносит его на утверждение Правительства области.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97"/>
      <w:bookmarkEnd w:id="6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Субсидия предоставляется на основании </w:t>
      </w:r>
      <w:hyperlink w:anchor="P956" w:history="1">
        <w:r w:rsidRPr="00FC0D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соглашения</w:t>
        </w:r>
      </w:hyperlink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муниципальным образованием и уполномоченным органом (далее – соглашение), заключенного в течение десяти рабочих дней после вступления в законную силу правового акта, указанного в </w:t>
      </w:r>
      <w:hyperlink w:anchor="P95" w:history="1">
        <w:r w:rsidRPr="00FC0D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3 настоящего Положения, в соответствии с типовой формой, утвержденной министерством финансов области.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реализации на территории муниципального образования двух и более инициативных проектов по каждому из них заключается отдельное соглашение.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соглашение осуществляется в случае, установленном пунктом 25 настоящего Положения, изменения реквизитов сторон, исправления технических ошибок, а также в иных случаях, установленных законодательством, путем заключения в срок не позднее 1 декабря текущего года дополнительного соглашения к соглашению на основании ходатайства получателя субсидии, которое должно поступить в уполномоченный орган не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рабочих дней до даты заключения дополнительного соглашения к соглашению.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Ходатайство, содержащее предложения о внесении изменений в соглашение с обоснованием их необходимости, направляется в письменном виде в уполномоченный орган. Уполномоченный орган рассматривает поступившее ходатайство в течение 5 рабочих дней со дня его поступления. По результатам рассмотрения получателю субсидии направляется проект дополнительного соглашения к соглашению или мотивированный отказ в его заключении.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Субсидия предоставляется бюджетам муниципальных образований в соответствии со сводной бюджетной росписью расходов областного бюджета за счет бюджетных ассигнований и в пределах лимитов бюджетных обязательств, утвержденных в установленном порядке уполномоченному органу на соответствующие цели.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субсидии муниципальное образование в срок не позднее двух рабочих дней после заключения соглашения представляет в уполномоченный орган документ, подтверждающий выполнение условия предоставления субсидии, указанный в подпункте «а» пункта 2 настоящего Положения.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bookmarkStart w:id="7" w:name="P104"/>
      <w:bookmarkEnd w:id="7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субсидии из областного бюджета в бюджет 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образования области осуществляется: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казначейский счет для осуществления и отражения операций по учету и распределению поступлений, открытый Управлению Федерального казначейства по Саратовской области, в случае, если в соответствии с законодательством Российской Федерации полномочия по перечислению субсидии не осуществляются Управлением Федерального казначейства по Саратовской области;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 единый счет бюджета, открытый финансовому органу муниципального образования области в Управлении Федерального казначейства по Саратовской области, в случае, если в соответствии с законодательством Российской Федерации полномочия по перечислению субсидии осуществляются Управлением Федерального казначейства по Саратовской области.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указанном в подпункте «б» настоящего пункта, уполномоченный орган принимает решение о передаче полномочий получателя средств областного бюджета по перечислению субсидии Управлению Федерального казначейства по Саратовской области и предоставление субсидии из областного бюджета бюджету муниципального образования осуществляется в порядке, установленном Федеральным казначейством.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Субсидия предоставляется в следующем порядке: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субсидии в размере 30 процентов от объема предусмотренных бюджету соответствующего муниципального образования средств перечисляется в течение десяти рабочих дней после заключения соглашения;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оставшаяся часть субсидии в размере 70 процентов от объема предусмотренных бюджету соответствующего муниципального образования средств перечисляется в течение десяти рабочих дней после представления в уполномоченный орган: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заверенных главой копий документов, подтверждающих: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фактическую поставку товаров, выполнение работ, оказание услуг в рамках реализации инициативного проекта в полном объеме;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в бюджет получателя субсидии инициативных платежей в объемах, предусмотренных соглашением;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заверенной главой копии соглашения о предоставлении муниципальному учреждению субсидии в соответствии с абзацем вторым пункта 1 статьи 78.1 Бюджетного кодекса Российской Федерации для осуществления мероприятий, направленных на реализацию инициативного проекта (при наличии);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фотографий (на электронном носителе), видеозаписи (при наличии), свидетельствующих о реализации инициативного проекта.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указанных копий документов и материалов осуществляется получателем субсидии не позднее 17 декабря текущего года.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18. Субсидия носит целевой характер, не подлежит направлению на другие цели и должна быть использована в текущем финансовом году.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bookmarkStart w:id="8" w:name="P116"/>
      <w:bookmarkEnd w:id="8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Получатели субсидий представляют в уполномоченный орган </w:t>
      </w:r>
      <w:hyperlink w:anchor="P1312" w:history="1">
        <w:r w:rsidRPr="00FC0D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отчет</w:t>
        </w:r>
      </w:hyperlink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субсидии, по форме, установленной в соглашении: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промежуточный – ежемесячно, по состоянию на 1 число, не позднее 5 числа месяца, следующего за отчетным, начиная с отчета за июнь текущего финансового года по последний месяц реализации проекта;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– по состоянию на дату направления в уполномоченный орган документов, указанных в пункте 17 настоящего Положения;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после осуществления окончательных расчетов за поставленные товары, выполненные работы, оказанные услуги в рамках реализации проекта, но не позднее 15 января года, следующего за отчетным годом.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Промежуточный отчет представляется в электронном виде в формате электронной таблицы с приложением сканированной копии сопроводительного 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письма, подписанного главой. Предварительный и итоговый отчеты представляются в электронном виде в формате электронной таблицы и в печатном виде на бумажном носителе с сопроводительным письмом, подписанным главой. К итоговому отчету прилагаются заверенные главой копии документов, подтверждающих фактическое перечисление получателем субсидии средств за поставленные товары, выполненные работы, оказанные услуги в рамках реализации инициативного проекта по каждому из источников финансирования в объемах, предусмотренных соглашением.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20. Органы местного самоуправления муниципальных образований несут ответственность за соблюдение установленного порядка расходования субсидии, своевременность и достоверность сведений, представляемых в уполномоченный орган.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21.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Не использованные по состоянию на 1 января года, следующего за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остатки субсидии на едином счете местного бюджета и счетах для учета субсидий на иные цели муниципальных бюджетных и автономных учреждений, подлежат возврату в доход областного бюджета в течение первых 15 рабочих дней года, следующего за отчетным.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23. В случае возникновения потребности в дополнительных расходах на реализацию инициативного проекта их финансовое обеспечение осуществляется за счет средств местного бюджета и (или) внебюджетных источников, без внесения изменений в соглашение.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127"/>
      <w:bookmarkEnd w:id="9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субсидии, образовавшиеся в результате экономии (в том числе в результате экономии по итогам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 с учетом рекомендации инициатора проекта могут быть направлены получателем субсидии на финансовое обеспечение мероприятий, не предусмотренных инициативным проектом, но связанных с его реализацией, в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соглашении направления инициативного проекта с соблюдением установленных соглашением параметров финансового обеспечения реализации инициативного проекта за счет каждого источника. В этом случае одновременно с документами, указанными в </w:t>
      </w:r>
      <w:hyperlink w:anchor="P104" w:history="1">
        <w:r w:rsidRPr="00FC0D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7 настоящего Положения, в уполномоченный орган представляется заверенная главой копия соответствующего предложения (решения) инициатора проекта, содержащего указанную рекомендацию.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25. В случае уменьшения стоимости инициативного проекта (в том числе в результате экономии по итогам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 размер субсидии уменьшается пропорционально снижению стоимости инициативного проекта. При этом в соглашение вносятся изменения в части установления размера субсидии и объема финансирования инициативного проекта по каждому из источников финансирования с соблюдением установленных условий предоставления субсидии. По инициативе получателя субсидии размер субсидии уменьшается на сумму экономии с внесением соответствующих изменений в соглашение (без уменьшения предусмотренных соглашением объемов финансирования инициативного проекта за счет других источников). Внесение указанных изменений в соглашение осуществляется в соответствии с </w:t>
      </w:r>
      <w:hyperlink w:anchor="P97" w:history="1">
        <w:r w:rsidRPr="00FC0D14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пунктом 1</w:t>
        </w:r>
      </w:hyperlink>
      <w:r w:rsidRPr="00FC0D1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4 настоящего Положения.</w:t>
      </w:r>
    </w:p>
    <w:p w:rsidR="0062616B" w:rsidRPr="00FC0D14" w:rsidRDefault="0062616B" w:rsidP="00FC0D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26. Результатом использования субсидии является реализация на территории муниципального образования инициативного проекта, прошедшего Конкурсный отбор.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>Приложение № 1 к Положению о порядке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предоставления и распределения </w:t>
      </w:r>
      <w:proofErr w:type="gramStart"/>
      <w:r w:rsidRPr="00FC0D1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C0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областного бюджета субсидии бюджетам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городских округов, городских и сельских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поселений области на реализацию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инициативных проектов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ИНИЦИАТИВНЫЙ ПРОЕКТ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>наименование инициативного проекта (далее – проект)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>(наименование муниципального образования)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>(наименование муниципального района)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>(тип: городской округ, городское или сельское поселение)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1. Общие сведения о муниципальном образовании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1.1.  Численность населения муниципального образования (человек): _____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1.2. Численность населения части территории муниципального образования (человек) &lt;*&gt;: 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1.3. Наименования населенных пунктов, входящих в </w:t>
      </w:r>
      <w:proofErr w:type="gramStart"/>
      <w:r w:rsidRPr="00FC0D14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образование (образующих  часть территории муниципального образования, на которой планируется реализация проекта), с указанием численности населения каждого из них: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1) ___________________________________________ человек;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2) ___________________________________________ человек;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3) ___________________________________________ человек.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1.4. Наименование населенного пункта, в котором планируется реализация проекта: _____________________________________________.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 xml:space="preserve">&lt;*&gt; Заполняется в случае реализации проекта </w:t>
      </w:r>
      <w:proofErr w:type="gramStart"/>
      <w:r w:rsidRPr="00FC0D14">
        <w:rPr>
          <w:rFonts w:ascii="Times New Roman" w:hAnsi="Times New Roman" w:cs="Times New Roman"/>
          <w:i/>
          <w:sz w:val="26"/>
          <w:szCs w:val="26"/>
        </w:rPr>
        <w:t>на части территории</w:t>
      </w:r>
      <w:proofErr w:type="gramEnd"/>
      <w:r w:rsidRPr="00FC0D14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образования, определенной в соответствии с нормативным правовым актом представительного органа муниципального образования.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 Описание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2.1. Направление проекта ___________________________________________.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>(в соответствии с подпунктом «а» пункта 4 Положения о порядке предоставления и распределения из областного бюджета субсидии бюджетам городских округов, городских и сельских поселений области на реализацию инициативных проектов)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2.2. Описание проблемы, на решение которой направлен проект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>(описание сути проблемы, ее негативных социально-экономических последствий, степени неотложности решения проблемы, текущего состояния объекта общественной инфраструктуры, предусмотренного проектом)</w:t>
      </w:r>
    </w:p>
    <w:p w:rsidR="0062616B" w:rsidRPr="00FC0D14" w:rsidRDefault="0062616B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2.3. Предложения по решению указанной проблемы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>(обоснование предложений по решению указанной проблемы)</w:t>
      </w:r>
    </w:p>
    <w:p w:rsidR="0062616B" w:rsidRPr="00FC0D14" w:rsidRDefault="0062616B" w:rsidP="0062616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2.4. Предварительный расчет затрат на реализацию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 xml:space="preserve">(что конкретно и каким способом планируется выполнить в рамках проекта, в соответствии с документами, указанными в подпункте «д» пункта 7 Положения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проектов) 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731"/>
        <w:gridCol w:w="1984"/>
        <w:gridCol w:w="1247"/>
      </w:tblGrid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реализации проекта </w:t>
            </w:r>
            <w:hyperlink w:anchor="Par94" w:history="1">
              <w:r w:rsidRPr="00FC0D14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 счет денежных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ar65"/>
            <w:bookmarkEnd w:id="10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 счет имущественного участия,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 счет трудового участия,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4"/>
      <w:bookmarkEnd w:id="11"/>
      <w:r w:rsidRPr="00FC0D14">
        <w:rPr>
          <w:rFonts w:ascii="Times New Roman" w:hAnsi="Times New Roman" w:cs="Times New Roman"/>
          <w:i/>
          <w:sz w:val="26"/>
          <w:szCs w:val="26"/>
        </w:rPr>
        <w:t xml:space="preserve">&lt;*&gt; Указываются наименования и краткое описание планируемых мероприятий (проведение общестроительных, пусконаладочных, ремонтных работ, монтаж, установка, приобретение, доставка материалов и оборудования и </w:t>
      </w:r>
      <w:proofErr w:type="spellStart"/>
      <w:r w:rsidRPr="00FC0D14">
        <w:rPr>
          <w:rFonts w:ascii="Times New Roman" w:hAnsi="Times New Roman" w:cs="Times New Roman"/>
          <w:i/>
          <w:sz w:val="26"/>
          <w:szCs w:val="26"/>
        </w:rPr>
        <w:t>т.п</w:t>
      </w:r>
      <w:proofErr w:type="spellEnd"/>
      <w:r w:rsidRPr="00FC0D14">
        <w:rPr>
          <w:rFonts w:ascii="Times New Roman" w:hAnsi="Times New Roman" w:cs="Times New Roman"/>
          <w:i/>
          <w:sz w:val="26"/>
          <w:szCs w:val="26"/>
        </w:rPr>
        <w:t xml:space="preserve">).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2.5. Ожидаемые результаты 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 (как изменится ситуация в муниципальном образовании после реализации проекта)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 Информация для оценки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3.1. Финансовое участие в реализации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Таблица 1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Планируемые источники финансирования мероприятий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(в денежной форме)</w:t>
      </w:r>
    </w:p>
    <w:tbl>
      <w:tblPr>
        <w:tblW w:w="9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151"/>
        <w:gridCol w:w="1304"/>
        <w:gridCol w:w="1531"/>
      </w:tblGrid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Виды источников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Сумма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Доля (процентов)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(не менее 10 процентов от стоимости проекта)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124"/>
            <w:bookmarkEnd w:id="12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граждан (не менее 5 процентов от стоимости проекта для городского округа, городского поселения и не 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менее 3 процентов от стоимости проекта для сельского поселения)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индивидуальных предпринимателей и юридических лиц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областного бюджета </w:t>
            </w:r>
            <w:hyperlink w:anchor="Par137" w:history="1">
              <w:r w:rsidRPr="00FC0D14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 стоимость проекта (объем финансового обеспечения за счет всех источников):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7"/>
      <w:bookmarkEnd w:id="13"/>
      <w:r w:rsidRPr="00FC0D14">
        <w:rPr>
          <w:rFonts w:ascii="Times New Roman" w:hAnsi="Times New Roman" w:cs="Times New Roman"/>
          <w:sz w:val="26"/>
          <w:szCs w:val="26"/>
        </w:rPr>
        <w:t>&lt;*&gt; не может превышать: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для муниципальных образований численностью не более 20 тыс. человек – 1,0 млн. рублей;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для муниципальных образований численностью свыше 20 тыс. человек, но не более 50 тыс. человек – 2,0 млн. рублей;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для муниципальных образований численностью свыше 50 тыс. человек – 3,0 млн. рублей.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Таблица 2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Инициативные платежи индивидуальных предпринимателей и юридических лиц (расшифровка суммы </w:t>
      </w:r>
      <w:hyperlink w:anchor="Par124" w:history="1">
        <w:r w:rsidRPr="00FC0D14">
          <w:rPr>
            <w:rFonts w:ascii="Times New Roman" w:hAnsi="Times New Roman" w:cs="Times New Roman"/>
            <w:sz w:val="26"/>
            <w:szCs w:val="26"/>
          </w:rPr>
          <w:t>строки 2.2 таблицы 1 пункта 3.1</w:t>
        </w:r>
      </w:hyperlink>
      <w:r w:rsidRPr="00FC0D14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04"/>
      </w:tblGrid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Наименование индивидуального предпринимателя юридического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3.2. Имущественное и (или) трудовое участие заинтересованных лиц в реализации проекта (согласно приложению № 1 к инициативному проекту)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3.2.1. Общая стоимость имущественного и (или) трудового участия заинтересованных лиц в рублях ____________.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3.2.2. Стоимость имущественного и (или) трудового участия населения в рублях 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3.2.3. Стоимость имущественного и (или) трудового участия индивидуальных предпринимателей и юридических лиц в рублях 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3.3. Социальная эффективность реализации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Характеристика  населения  муниципального  образования (части муниципального образования), которое получит  пользу от реализации проекта (например: дети дошкольного возраста, дети школьного возраста, молодежь, жители пожилого возраста, трудоспособное население, население, проживающее на определенной улице населенного пункта, и т.д.) __________________________________________________________________.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spellStart"/>
      <w:r w:rsidRPr="00FC0D14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FC0D14">
        <w:rPr>
          <w:rFonts w:ascii="Times New Roman" w:hAnsi="Times New Roman" w:cs="Times New Roman"/>
          <w:sz w:val="26"/>
          <w:szCs w:val="26"/>
        </w:rPr>
        <w:t xml:space="preserve"> (человек) 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3.4. Участие населения в определении и рассмотрении проекта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Число лиц, принявших участие в обсуждении, определении соответствия интересам жителей муниципального образования или его части, целесообразности реализации и поддержки проекта (человек) __________________________________________________________________.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lastRenderedPageBreak/>
        <w:t>(согласно протоколу схода, собрания или конференции граждан, результатам опроса граждан)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3.5. Способы информирования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9"/>
        <w:gridCol w:w="964"/>
        <w:gridCol w:w="28"/>
        <w:gridCol w:w="1985"/>
      </w:tblGrid>
      <w:tr w:rsidR="0062616B" w:rsidRPr="00FC0D14" w:rsidTr="0062616B">
        <w:trPr>
          <w:trHeight w:val="47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способов информирования населения при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примечание/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62616B" w:rsidRPr="00FC0D14" w:rsidTr="0062616B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5 статьи 26.1 Федерального закона от 6 октября 2003 года № 131-ФЗ «Об общих принципах организации местного самоуправления в Российской Федерации»:</w:t>
            </w:r>
          </w:p>
        </w:tc>
      </w:tr>
      <w:tr w:rsidR="0062616B" w:rsidRPr="00FC0D14" w:rsidTr="0062616B">
        <w:trPr>
          <w:trHeight w:val="47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официального сайта муниципального образования в информационно-телекоммуникационной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официального сайта муниципального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Доведение информации до сведения граждан старостой сельского населенного пункта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rPr>
          <w:trHeight w:val="205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Дополнительные способы</w:t>
            </w:r>
            <w:r w:rsidRPr="00FC0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информационных стендов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Публикации в печатных средствах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rPr>
          <w:trHeight w:val="2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Освещение проекта в телевизионной передаче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Информация в социальных сетях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Иные способы:________________________________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D14">
        <w:rPr>
          <w:rFonts w:ascii="Times New Roman" w:hAnsi="Times New Roman" w:cs="Times New Roman"/>
          <w:sz w:val="26"/>
          <w:szCs w:val="26"/>
        </w:rPr>
        <w:t xml:space="preserve">&lt;*&gt; помимо предусмотренных пунктом 5 статьи 26.1 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</w:t>
      </w:r>
      <w:r w:rsid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4. Планируемая дата завершения реализации проекта «__» _______ 20__ года.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5. Сведения об инициаторах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Ответственное лицо (руководитель инициативной группы)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686"/>
      </w:tblGrid>
      <w:tr w:rsidR="0062616B" w:rsidRPr="00FC0D14" w:rsidTr="0062616B">
        <w:trPr>
          <w:trHeight w:val="24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Ф.И.О. полностью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2616B" w:rsidRPr="00FC0D14" w:rsidTr="0062616B">
        <w:trPr>
          <w:trHeight w:val="283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род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Список инициаторов проекта </w:t>
      </w:r>
      <w:r w:rsidRPr="00FC0D14">
        <w:rPr>
          <w:rFonts w:ascii="Times New Roman" w:hAnsi="Times New Roman" w:cs="Times New Roman"/>
          <w:i/>
          <w:sz w:val="26"/>
          <w:szCs w:val="26"/>
        </w:rPr>
        <w:t>(Ф.И.О. полностью, род деятельности)</w:t>
      </w:r>
      <w:r w:rsidRPr="00FC0D14">
        <w:rPr>
          <w:rFonts w:ascii="Times New Roman" w:hAnsi="Times New Roman" w:cs="Times New Roman"/>
          <w:sz w:val="26"/>
          <w:szCs w:val="26"/>
        </w:rPr>
        <w:t>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6. Сведения об </w:t>
      </w:r>
      <w:proofErr w:type="gramStart"/>
      <w:r w:rsidRPr="00FC0D14">
        <w:rPr>
          <w:rFonts w:ascii="Times New Roman" w:hAnsi="Times New Roman" w:cs="Times New Roman"/>
          <w:sz w:val="26"/>
          <w:szCs w:val="26"/>
        </w:rPr>
        <w:t>ответственном</w:t>
      </w:r>
      <w:proofErr w:type="gramEnd"/>
      <w:r w:rsidRPr="00FC0D14">
        <w:rPr>
          <w:rFonts w:ascii="Times New Roman" w:hAnsi="Times New Roman" w:cs="Times New Roman"/>
          <w:sz w:val="26"/>
          <w:szCs w:val="26"/>
        </w:rPr>
        <w:t xml:space="preserve"> за реализацию проекта от администрации муниципального образования</w:t>
      </w:r>
    </w:p>
    <w:tbl>
      <w:tblPr>
        <w:tblpPr w:leftFromText="180" w:rightFromText="180" w:vertAnchor="text" w:horzAnchor="margin" w:tblpY="20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686"/>
      </w:tblGrid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Ф.И.О. полностью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e-</w:t>
            </w: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7. Дополнительная информация и комментарии: ____________________________________________________________________________________________________________________________________.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7"/>
        <w:gridCol w:w="1559"/>
        <w:gridCol w:w="2013"/>
      </w:tblGrid>
      <w:tr w:rsidR="0062616B" w:rsidRPr="00FC0D14" w:rsidTr="0062616B">
        <w:trPr>
          <w:trHeight w:val="473"/>
        </w:trPr>
        <w:tc>
          <w:tcPr>
            <w:tcW w:w="55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глава муниципального образования/глава администрации муниципального образования/лицо, замещающее в установленном порядке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подпись)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(Ф.И.О.)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«____» ___________ 20__ года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p w:rsidR="0062616B" w:rsidRDefault="0062616B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P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>Приложение № 1 к инициативному проекту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ar336"/>
      <w:bookmarkEnd w:id="14"/>
      <w:r w:rsidRPr="00FC0D14">
        <w:rPr>
          <w:rFonts w:ascii="Times New Roman" w:hAnsi="Times New Roman" w:cs="Times New Roman"/>
          <w:sz w:val="26"/>
          <w:szCs w:val="26"/>
        </w:rPr>
        <w:t>Планируемое имущественное или трудовое участие заинтересованных лиц в реализации инициативного проекта ____________________________________________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C0D14">
        <w:rPr>
          <w:rFonts w:ascii="Times New Roman" w:hAnsi="Times New Roman" w:cs="Times New Roman"/>
          <w:i/>
          <w:sz w:val="26"/>
          <w:szCs w:val="26"/>
        </w:rPr>
        <w:t>(наименование муниципального образования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C0D14">
        <w:rPr>
          <w:rFonts w:ascii="Times New Roman" w:hAnsi="Times New Roman" w:cs="Times New Roman"/>
          <w:i/>
          <w:sz w:val="26"/>
          <w:szCs w:val="26"/>
        </w:rPr>
        <w:t>и инициативного проекта)</w:t>
      </w: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C0D14">
        <w:rPr>
          <w:rFonts w:ascii="Times New Roman" w:hAnsi="Times New Roman" w:cs="Times New Roman"/>
          <w:sz w:val="26"/>
          <w:szCs w:val="26"/>
        </w:rPr>
        <w:t>(в соответствии с пунктом 3.2.</w:t>
      </w:r>
      <w:proofErr w:type="gramEnd"/>
      <w:r w:rsidRPr="00FC0D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0D14">
        <w:rPr>
          <w:rFonts w:ascii="Times New Roman" w:hAnsi="Times New Roman" w:cs="Times New Roman"/>
          <w:sz w:val="26"/>
          <w:szCs w:val="26"/>
        </w:rPr>
        <w:t>Приложение № 1 к Положению о порядке предоставления из областного бюджета субсидии бюджетам городских округов, городских и сельских поселений области на реализацию инициативных проектов)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Имущественное и (или) трудовое участие заинтересованных лиц в реализации инициативного проекта: ___________________________ рублей, </w:t>
      </w: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 том числе:</w:t>
      </w: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1. Стоимость имущественного и (или) трудового участия населения в рублях __________, в том числе:</w:t>
      </w: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1.1. Имущественное участие (безвозмездное предоставление товаров, материалов):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1962"/>
        <w:gridCol w:w="1985"/>
        <w:gridCol w:w="1701"/>
        <w:gridCol w:w="1418"/>
        <w:gridCol w:w="1417"/>
      </w:tblGrid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Наименования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, кг, м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Общая стоимость (руб.)</w:t>
            </w:r>
          </w:p>
        </w:tc>
      </w:tr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1.2. Трудовое участие (безвозмездное выполнение работ):</w:t>
      </w:r>
    </w:p>
    <w:tbl>
      <w:tblPr>
        <w:tblW w:w="9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037"/>
        <w:gridCol w:w="2517"/>
        <w:gridCol w:w="1240"/>
        <w:gridCol w:w="1418"/>
        <w:gridCol w:w="1417"/>
      </w:tblGrid>
      <w:tr w:rsidR="0062616B" w:rsidRPr="00FC0D14" w:rsidTr="00626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(человек-час, норма-час, м, </w:t>
            </w:r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</w:rPr>
              <w:t>, м</w:t>
            </w:r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Общая стоимость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2616B" w:rsidRPr="00FC0D14" w:rsidTr="0062616B">
        <w:trPr>
          <w:trHeight w:val="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616B" w:rsidRPr="00FC0D14" w:rsidTr="00626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 Стоимость имущественного и (или) трудового участия индивидуальных предпринимателей и юридических лиц в рублях ________________, в том числе:</w:t>
      </w:r>
    </w:p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2.1. Имущественное участие (безвозмездное предоставление товаров, материалов):</w:t>
      </w:r>
    </w:p>
    <w:tbl>
      <w:tblPr>
        <w:tblW w:w="98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591"/>
        <w:gridCol w:w="1809"/>
        <w:gridCol w:w="1417"/>
        <w:gridCol w:w="993"/>
        <w:gridCol w:w="1134"/>
        <w:gridCol w:w="1309"/>
      </w:tblGrid>
      <w:tr w:rsidR="0062616B" w:rsidRPr="00FC0D14" w:rsidTr="006261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индивидуальных предпринимателей/ юридических лиц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Наименование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, кг, м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Общая стоимость (руб.)</w:t>
            </w:r>
          </w:p>
        </w:tc>
      </w:tr>
      <w:tr w:rsidR="0062616B" w:rsidRPr="00FC0D14" w:rsidTr="0062616B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616B" w:rsidRPr="00FC0D14" w:rsidTr="006261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2.2. Трудовое участие (безвозмездное выполнение работ):</w:t>
      </w:r>
    </w:p>
    <w:tbl>
      <w:tblPr>
        <w:tblW w:w="98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571"/>
        <w:gridCol w:w="992"/>
        <w:gridCol w:w="1843"/>
        <w:gridCol w:w="1134"/>
        <w:gridCol w:w="1276"/>
        <w:gridCol w:w="1417"/>
      </w:tblGrid>
      <w:tr w:rsidR="0062616B" w:rsidRPr="00FC0D14" w:rsidTr="006261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индивидуальных предпринимателей/ юридических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Вид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(человек-час, норма-час, м, </w:t>
            </w:r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</w:rPr>
              <w:t>, м</w:t>
            </w:r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Общая стоимость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7"/>
        <w:gridCol w:w="1559"/>
        <w:gridCol w:w="2013"/>
      </w:tblGrid>
      <w:tr w:rsidR="0062616B" w:rsidRPr="00FC0D14" w:rsidTr="0062616B">
        <w:trPr>
          <w:trHeight w:val="473"/>
        </w:trPr>
        <w:tc>
          <w:tcPr>
            <w:tcW w:w="55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глава муниципального образования/глава администрации муниципального образования/</w:t>
            </w:r>
            <w:proofErr w:type="gramStart"/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лицо</w:t>
            </w:r>
            <w:proofErr w:type="gramEnd"/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замещающее в установленном порядке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подпись)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(Ф.И.О.)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(руководитель инициативной группы) ____________  ___________________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             (</w:t>
      </w:r>
      <w:r w:rsidRPr="00FC0D14">
        <w:rPr>
          <w:rFonts w:ascii="Times New Roman" w:hAnsi="Times New Roman" w:cs="Times New Roman"/>
          <w:i/>
          <w:sz w:val="26"/>
          <w:szCs w:val="26"/>
        </w:rPr>
        <w:t>подпись)                (Ф.И.О.)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Pr="00FC0D14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>Приложение № 2 к инициативному проекту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правоустанавливающих документах по объектам недвижимости и принятых в соответствии с частью 1 и (или) частью 2 статьи 26.1 Федерального закона от 6 октября 2003 года № 131-ФЗ «Об общих принципах организации местного самоуправления в Российской Федерации» нормативных правовых актах представительного органа муниципального образования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Информация о правоустанавливающих документах по объектам недвижимости &lt;*&gt;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62616B" w:rsidRPr="00FC0D14" w:rsidTr="0062616B">
        <w:tc>
          <w:tcPr>
            <w:tcW w:w="251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Тип объекта </w:t>
            </w:r>
          </w:p>
        </w:tc>
        <w:tc>
          <w:tcPr>
            <w:tcW w:w="7053" w:type="dxa"/>
            <w:shd w:val="clear" w:color="auto" w:fill="FFFFFF" w:themeFill="background1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Сведения, необходимые для идентификации объекта недвижимости в Едином государственном реестре недвижимости (кадастровый номер (или условный номер) объекта, адрес объекта и др.)</w:t>
            </w:r>
          </w:p>
        </w:tc>
      </w:tr>
      <w:tr w:rsidR="0062616B" w:rsidRPr="00FC0D14" w:rsidTr="0062616B">
        <w:tc>
          <w:tcPr>
            <w:tcW w:w="251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16B" w:rsidRPr="00FC0D14" w:rsidTr="0062616B">
        <w:tc>
          <w:tcPr>
            <w:tcW w:w="251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16B" w:rsidRPr="00FC0D14" w:rsidTr="0062616B">
        <w:tc>
          <w:tcPr>
            <w:tcW w:w="251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&lt;*&gt; заполняется в случае непредставления документов, указанных в подпункте «г» пункта 7 Положения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принятых в соответствии с частью 1 и (или) частью 2 статьи 26.1 Федерального закона от 6 октября 2003 года № 131-ФЗ «Об общих принципах организации местного самоуправления в Российской Федерации» нормативных правовых актах представительного органа муниципального образования 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3"/>
        <w:tblW w:w="9350" w:type="dxa"/>
        <w:tblLayout w:type="fixed"/>
        <w:tblLook w:val="04A0" w:firstRow="1" w:lastRow="0" w:firstColumn="1" w:lastColumn="0" w:noHBand="0" w:noVBand="1"/>
      </w:tblPr>
      <w:tblGrid>
        <w:gridCol w:w="1101"/>
        <w:gridCol w:w="1000"/>
        <w:gridCol w:w="1126"/>
        <w:gridCol w:w="1965"/>
        <w:gridCol w:w="4158"/>
      </w:tblGrid>
      <w:tr w:rsidR="0062616B" w:rsidRPr="00FC0D14" w:rsidTr="0062616B">
        <w:tc>
          <w:tcPr>
            <w:tcW w:w="3227" w:type="dxa"/>
            <w:gridSpan w:val="3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Реквизиты нормативного правового акта </w:t>
            </w:r>
          </w:p>
        </w:tc>
        <w:tc>
          <w:tcPr>
            <w:tcW w:w="1965" w:type="dxa"/>
            <w:vMerge w:val="restart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4158" w:type="dxa"/>
            <w:vMerge w:val="restart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Ссылка на акт в сети Интернет</w:t>
            </w:r>
          </w:p>
        </w:tc>
      </w:tr>
      <w:tr w:rsidR="0062616B" w:rsidRPr="00FC0D14" w:rsidTr="0062616B">
        <w:tc>
          <w:tcPr>
            <w:tcW w:w="1101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000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126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965" w:type="dxa"/>
            <w:vMerge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8" w:type="dxa"/>
            <w:vMerge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16B" w:rsidRPr="00FC0D14" w:rsidTr="0062616B">
        <w:tc>
          <w:tcPr>
            <w:tcW w:w="1101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16B" w:rsidRPr="00FC0D14" w:rsidTr="0062616B">
        <w:tc>
          <w:tcPr>
            <w:tcW w:w="1101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7"/>
        <w:gridCol w:w="1559"/>
        <w:gridCol w:w="2013"/>
      </w:tblGrid>
      <w:tr w:rsidR="0062616B" w:rsidRPr="00FC0D14" w:rsidTr="0062616B">
        <w:trPr>
          <w:trHeight w:val="473"/>
        </w:trPr>
        <w:tc>
          <w:tcPr>
            <w:tcW w:w="55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глава муниципального образования/глава администрации муниципального образования/</w:t>
            </w:r>
            <w:proofErr w:type="gramStart"/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лицо</w:t>
            </w:r>
            <w:proofErr w:type="gramEnd"/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замещающее в установленном порядке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подпись)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(Ф.И.О.)</w:t>
            </w:r>
          </w:p>
        </w:tc>
      </w:tr>
    </w:tbl>
    <w:p w:rsidR="0062616B" w:rsidRDefault="0062616B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P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>Приложение № 2 к Положению о порядке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предоставления и распределения </w:t>
      </w:r>
      <w:proofErr w:type="gramStart"/>
      <w:r w:rsidRPr="00FC0D1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C0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областного бюджета субсидии бюджетам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городских округов, городских и сельских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поселений области на реализацию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инициативных проектов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C0D14">
        <w:rPr>
          <w:rFonts w:ascii="Times New Roman" w:hAnsi="Times New Roman" w:cs="Times New Roman"/>
          <w:bCs/>
          <w:sz w:val="26"/>
          <w:szCs w:val="26"/>
        </w:rPr>
        <w:t>Балльная шкала оценки инициативных проектов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I. Оценка инициативных проектов осуществляется по следующим критериям: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1. Финансовое участие в реализации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1.1. Доля средств местного бюджета (не менее 10 процентов от стоимости проекта):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средств местного бюджета составляет меньше 50 процентов,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(S - 10) / 40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доля средств местного бюджета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средств местного бюджета составляет 50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1.2. Доля инициативных платежей граждан (не менее 5 процентов от стоимости проекта для городского округа, городского поселения и не менее 3 процентов от стоимости проекта для сельского поселения):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а) в случае, если доля инициативных платежей граждан городского округа, городского поселения составляет меньше 15 процентов, то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(S - 5) / 10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доля инициативных платежей граждан городского округа, городского поселения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инициативных платежей граждан городского округа, городского поселения составляет 15 процентов и более, то начисляется 100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б) в случае, если доля инициативных платежей граждан сельского поселения составляет меньше 10 процентов, то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(S - 3) / 7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доля инициативных платежей граждан сельского поселения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инициативных платежей граждан сельского поселения составляет 10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1.3. Доля и</w:t>
      </w:r>
      <w:r w:rsidRPr="00FC0D14">
        <w:rPr>
          <w:rFonts w:ascii="Times New Roman" w:hAnsi="Times New Roman" w:cs="Times New Roman"/>
          <w:sz w:val="26"/>
          <w:szCs w:val="26"/>
        </w:rPr>
        <w:t>нициативных платежей</w:t>
      </w: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индивидуальных предпринимателей и юридических лиц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: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и</w:t>
      </w:r>
      <w:r w:rsidRPr="00FC0D14">
        <w:rPr>
          <w:rFonts w:ascii="Times New Roman" w:hAnsi="Times New Roman" w:cs="Times New Roman"/>
          <w:sz w:val="26"/>
          <w:szCs w:val="26"/>
        </w:rPr>
        <w:t>нициативных платежей</w:t>
      </w: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индивидуальных предпринимателей и юридических лиц   составляет меньше 20 процентов от стоимости проекта,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S / 20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доля инициативных платежей индивидуальных предпринимателей и юридических лиц 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инициативных платежей индивидуальных предпринимателей и юридических лиц  составляет 20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2. Имущественное и (или) трудовое участие заинтересованных лиц в реализации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объем имущественного и (или) трудового участия заинтересованных лиц составляет меньше 10 процентов от стоимости проекта,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S / 10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объем имущественного и (или) трудового участия заинтересованных лиц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объем имущественного и (или) трудового участия заинтересованных лиц составляет 10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3. Социальная эффективность реализации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начисляемых баллов равно доле </w:t>
      </w: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процентах от общей численности населения городского округа, поселения;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численность </w:t>
      </w: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равна или превосходит численность населения городского округа, поселения - 100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4. Участие населения в определении и рассмотрении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Число жителей муниципального образования или его части, принявших участие в определении и рассмотрении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населения, участвующего в определении и рассмотрении проекта, в процентах от общей численности населения городского округа, поселения (или его части) составляет меньше 10 процентов,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N / 10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N - доля населения, участвующего в определении и рассмотрении инициативного проекта,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N составляет 10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5. Использование дополнительных способов информирования населения при реализации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 информационных стендов - 10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наличие публикаций в печатных средствах массовой информации - 30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освещение проекта с использованием телевидения и радио - 40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размещение соответствующей информации в социальных сетях и иные способы - 20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использования указанных средств - 0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II. Оценка проектов определяется по следующей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noProof/>
          <w:position w:val="-33"/>
          <w:sz w:val="26"/>
          <w:szCs w:val="26"/>
          <w:lang w:eastAsia="ru-RU"/>
        </w:rPr>
        <w:lastRenderedPageBreak/>
        <w:drawing>
          <wp:inline distT="0" distB="0" distL="0" distR="0" wp14:anchorId="6CFBD4EF" wp14:editId="1424C79E">
            <wp:extent cx="1748155" cy="60007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O</w:t>
      </w:r>
      <w:r w:rsidRPr="00FC0D14">
        <w:rPr>
          <w:rFonts w:ascii="Times New Roman" w:eastAsia="Calibri" w:hAnsi="Times New Roman" w:cs="Times New Roman"/>
          <w:sz w:val="26"/>
          <w:szCs w:val="26"/>
          <w:vertAlign w:val="subscript"/>
          <w:lang w:eastAsia="ru-RU"/>
        </w:rPr>
        <w:t>u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оценка проекта;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</w:t>
      </w:r>
      <w:r w:rsidRPr="00FC0D14">
        <w:rPr>
          <w:rFonts w:ascii="Times New Roman" w:eastAsia="Calibri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балл i-</w:t>
      </w: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критерия;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p</w:t>
      </w:r>
      <w:r w:rsidRPr="00FC0D14">
        <w:rPr>
          <w:rFonts w:ascii="Times New Roman" w:eastAsia="Calibri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весовой коэффициент i-</w:t>
      </w: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критерия в соответствии с Таблицей 1;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n - общее число критериев.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C0D14">
        <w:rPr>
          <w:rFonts w:ascii="Times New Roman" w:hAnsi="Times New Roman" w:cs="Times New Roman"/>
          <w:bCs/>
          <w:sz w:val="26"/>
          <w:szCs w:val="26"/>
        </w:rPr>
        <w:t>Таблица 1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C0D14">
        <w:rPr>
          <w:rFonts w:ascii="Times New Roman" w:hAnsi="Times New Roman" w:cs="Times New Roman"/>
          <w:bCs/>
          <w:sz w:val="26"/>
          <w:szCs w:val="26"/>
        </w:rPr>
        <w:t>Значения весовых коэффициентов критериев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426"/>
        <w:gridCol w:w="1701"/>
      </w:tblGrid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Весовой коэффициент критерия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Финансовое участие в реализации инициативного проекта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Доля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инициативных платежей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и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нициативных платежей</w:t>
            </w: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индивидуальных предпринимателей и (или) юридических лиц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Имущественное и (или) трудовое участие заинтересованных лиц в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Социальная эффективность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населения в определении и рассмотрении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дополнительных способов информирования населения при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1,00».</w:t>
            </w:r>
          </w:p>
        </w:tc>
      </w:tr>
    </w:tbl>
    <w:p w:rsidR="0062616B" w:rsidRPr="00FC0D14" w:rsidRDefault="0062616B" w:rsidP="0062616B">
      <w:pPr>
        <w:keepNext/>
        <w:keepLines/>
        <w:spacing w:after="0" w:line="240" w:lineRule="auto"/>
        <w:outlineLvl w:val="7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Pr="00FC0D14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Правительства Саратовской области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 17 июля 2017 г.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362-П</w:t>
      </w: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F00F51" w:rsidP="0062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5" w:name="P1968"/>
      <w:bookmarkEnd w:id="15"/>
      <w:r w:rsidRPr="00FC0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конкурсной комиссии по проведению конкурсного отбора инициативных проектов для предоставления из областного бюджета субсидии на их реализацию</w:t>
      </w:r>
    </w:p>
    <w:p w:rsidR="00F00F51" w:rsidRPr="00FC0D14" w:rsidRDefault="00F00F51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180"/>
      </w:tblGrid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Пивоваров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вице-губернатор области – руководитель аппарата Губернатора области, председатель конкурсной комиссии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Ойкин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министр финансов области, заместитель председателя конкурсной комиссии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Зюзин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министр по делам территориальных образований области, заместитель председателя конкурсной комиссии;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Евдоченко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организационной и документационной работы министерства по делам территориальных образований области, секретарь конкурсной комиссии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A7CD1" w:rsidRPr="00FC0D1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Абрашин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молодежной политики и спорта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Акимова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автономного учреждения Саратовской области "Центр бюджетных исследований";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Бородянская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туризму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Грачев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промышленности и энергетики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Жеревчук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консультант отдела судебной работы и правовой информации правового управления Правительства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Жуковская Л.П.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председатель Ассоциации "Совет муниципальных образований Саратовской области" (по согласованию);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Каляева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культуры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Карасёв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природных ресурсов и экологии области - начальник управления государственного экологического надзора;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Кузнецова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 комитета по управлению имуществом области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Кухто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аппарата комитета Саратовской областной Думы по бюджету, налогам, промышленности и собственности (по согласованию);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Михайлова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труда и социального развития области – председатель комитета по занятости населения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Пантелиди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управления развития автомобильных дорог министерства транспорта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и дорожного хозяйства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Ракевич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исполнительной дирекции Ассоциации "Совет муниципальных образований Саратовской области" (по согласованию);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Федорова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программных мероприятий государственного автономного учреждения Саратовской области "Центр бюджетных исследований";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Хомутов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координации федеральных и областных программ министерства экономического развития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Цыганова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жилищно-коммунального хозяйства министерства строительства и жилищно-коммунального хозяйства области.</w:t>
            </w:r>
          </w:p>
        </w:tc>
      </w:tr>
    </w:tbl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Pr="00FC0D14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Правительства Саратовской области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 17 июля 2017 г.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362-П</w:t>
      </w: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F00F51" w:rsidP="006261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2052"/>
      <w:bookmarkEnd w:id="16"/>
      <w:r w:rsidRPr="00FC0D14">
        <w:rPr>
          <w:rFonts w:ascii="Times New Roman" w:hAnsi="Times New Roman" w:cs="Times New Roman"/>
          <w:sz w:val="26"/>
          <w:szCs w:val="26"/>
        </w:rPr>
        <w:t>Положение о конкурсной комиссии по проведению конкурсного отбора инициативных проектов для предоставления из областного бюджета субсидии на их реализацию</w:t>
      </w:r>
    </w:p>
    <w:p w:rsidR="005A7CD1" w:rsidRPr="00FC0D14" w:rsidRDefault="005A7CD1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1. </w:t>
      </w:r>
      <w:r w:rsidR="00F00F51" w:rsidRPr="00FC0D14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деятельности конкурсной комиссии по проведению конкурсного отбора инициативных проектов для предоставления субсидии бюджетам городских округов, городских и сельских поселений области на их реализацию (далее соответственно - Положение, конкурсная комиссия, конкурсный отбор, муниципальное образование, проект).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2. Конкурсная комиссия в своей деятельности руководствуется </w:t>
      </w:r>
      <w:r w:rsidR="00B06895" w:rsidRPr="00B06895"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FC0D14">
        <w:rPr>
          <w:rFonts w:ascii="Times New Roman" w:hAnsi="Times New Roman" w:cs="Times New Roman"/>
          <w:sz w:val="26"/>
          <w:szCs w:val="26"/>
        </w:rPr>
        <w:t>Российской Федерации, федеральными и областными законами, а также настоящим Положением.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 Основными задачами конкурсной комиссии являются: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а) рассмотрение заявок на участие в конкурсном отборе;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б) проведение оценки проектов;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в) подготовка предложений о распределении субсидии бюджетам городских округов, городских и сельских поселений области на реализацию проектов из областного бюджета.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4. В состав конкурсной комиссии входят председатель конкурсной комиссии, его заместитель (заместители), секретарь конкурсной комиссии и иные члены конкурсной комиссии.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5. Заседание конкурсной комиссии считается правомочным при условии присутствия на нем не менее половины ее членов.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6. Председатель конкурсной комиссии: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конкурсной комиссии;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устанавливает дату заседания конкурсной комиссии и формирует проект его повестки;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 случае необходимости выносит на обсуждение конкурсной комиссии вопрос о привлечении к работе независимых экспертов.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7. В период временного отсутствия председателя конкурсной комиссии его полномочия исполняет один из заместителей председателя конкурсной комиссии.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8. Члены конкурсной комиссии: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5A7CD1" w:rsidRPr="00FC0D14" w:rsidRDefault="00F00F5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осуществляют рассмотрение представленных на конкурсный отбор проектов и проверку приложенных к ним документов, направляют секретарю конкурсной комиссии замечания по ним или уведомляют об отсутствии замечаний</w:t>
      </w:r>
      <w:r w:rsidR="005A7CD1" w:rsidRPr="00FC0D14">
        <w:rPr>
          <w:rFonts w:ascii="Times New Roman" w:hAnsi="Times New Roman" w:cs="Times New Roman"/>
          <w:sz w:val="26"/>
          <w:szCs w:val="26"/>
        </w:rPr>
        <w:t>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осуществляют иные действия в соответствии с законодательством и настоящим Положением.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9. Секретарь конкурсной комиссии: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осуществляет регистрацию заявок на участие в конкурсном отборе;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запрашивает у членов конкурсной комиссии и обобщает замечания по </w:t>
      </w:r>
      <w:r w:rsidR="00F00F51" w:rsidRPr="00FC0D14">
        <w:rPr>
          <w:rFonts w:ascii="Times New Roman" w:hAnsi="Times New Roman" w:cs="Times New Roman"/>
          <w:sz w:val="26"/>
          <w:szCs w:val="26"/>
        </w:rPr>
        <w:t>проектам и приложенным к ним документам</w:t>
      </w:r>
      <w:r w:rsidRPr="00FC0D14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обеспечивает подготовку материалов к заседанию конкурсной комиссии;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>оповещает членов конкурсной комиссии об очередных ее заседаниях и о повестке дня;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ведет протоколы заседаний конкурсной комиссии;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 течение одного рабочего дня после подписания протоколов конкурсной комиссии направляет их копии в Уполномоченный орган;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готовит для размещения на официальном Портале Правительства области информацию о результатах конкурсного отбора.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10. Конкурсная комиссия имеет право: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а) заслушивать на своих заседаниях руководителей и представителей исполнительных органов власти области по вопросам, отнесенным к компетенции конкурсной комиссии;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б) приглашать для участия в работе конкурсной комиссии представителей заинтересованных исполнительных органов власти области, по согласованию представителей научных, общественных и иных организаций;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в) создавать в установленном порядке рабочие группы для рассмотрения вопросов, отнесенных к компетенции конкурсной комиссии.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11. Решения конкурсной комиссии принимаются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099"/>
      <w:bookmarkEnd w:id="17"/>
      <w:r w:rsidRPr="00FC0D14">
        <w:rPr>
          <w:rFonts w:ascii="Times New Roman" w:hAnsi="Times New Roman" w:cs="Times New Roman"/>
          <w:sz w:val="26"/>
          <w:szCs w:val="26"/>
        </w:rPr>
        <w:t>12. По результатам заседания конкурсной комиссии в трехдневный срок составляется его протокол, который подписывается всеми членами конкурсной комиссии, присутствующими на заседании, и в течение одного рабочего дня со дня подписания направляется в уполномоченный орган.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 протоколе должна содержаться следующая информация: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 муниципальных образованиях области, подавших </w:t>
      </w:r>
      <w:r w:rsidR="0062616B" w:rsidRPr="00FC0D14">
        <w:rPr>
          <w:rFonts w:ascii="Times New Roman" w:hAnsi="Times New Roman" w:cs="Times New Roman"/>
          <w:sz w:val="26"/>
          <w:szCs w:val="26"/>
        </w:rPr>
        <w:t>проекты</w:t>
      </w:r>
      <w:r w:rsidRPr="00FC0D14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D14">
        <w:rPr>
          <w:rFonts w:ascii="Times New Roman" w:hAnsi="Times New Roman" w:cs="Times New Roman"/>
          <w:sz w:val="26"/>
          <w:szCs w:val="26"/>
        </w:rPr>
        <w:t xml:space="preserve">о муниципальных образованиях области, </w:t>
      </w:r>
      <w:r w:rsidR="0062616B" w:rsidRPr="00FC0D14">
        <w:rPr>
          <w:rFonts w:ascii="Times New Roman" w:hAnsi="Times New Roman" w:cs="Times New Roman"/>
          <w:sz w:val="26"/>
          <w:szCs w:val="26"/>
        </w:rPr>
        <w:t>которым было отказано в поддержке проекта по основаниям, установленным подпунктами «а» - «в» пункта 11 Положения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</w:t>
      </w:r>
      <w:r w:rsidRPr="00FC0D14">
        <w:rPr>
          <w:rFonts w:ascii="Times New Roman" w:hAnsi="Times New Roman" w:cs="Times New Roman"/>
          <w:sz w:val="26"/>
          <w:szCs w:val="26"/>
        </w:rPr>
        <w:t>, с указанием причин их отклонения;</w:t>
      </w:r>
      <w:proofErr w:type="gramEnd"/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 результатах оценки проектов и предложениях по распределению субсидии из областного бюджета бюджетам муниципальных образований области на реализацию проектов.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13. Информационное сообщение о результатах оценки проектов и предложениях по распределению субсидии бюджетам городских округов, городских и сельских поселений области на реализацию проектов из областного бюджета размещается на официальном портале Правительства области в информационно-телекоммуникационной сети Интернет не позднее следующего рабочего дня после истечения срока, предусмотренного </w:t>
      </w:r>
      <w:r w:rsidR="00B06895" w:rsidRPr="00B06895">
        <w:rPr>
          <w:rFonts w:ascii="Times New Roman" w:hAnsi="Times New Roman" w:cs="Times New Roman"/>
          <w:sz w:val="26"/>
          <w:szCs w:val="26"/>
        </w:rPr>
        <w:t>пунктом</w:t>
      </w:r>
      <w:r w:rsidR="00B06895">
        <w:rPr>
          <w:rFonts w:ascii="Times New Roman" w:hAnsi="Times New Roman" w:cs="Times New Roman"/>
          <w:sz w:val="26"/>
          <w:szCs w:val="26"/>
        </w:rPr>
        <w:t xml:space="preserve"> 12</w:t>
      </w:r>
      <w:bookmarkStart w:id="18" w:name="_GoBack"/>
      <w:bookmarkEnd w:id="18"/>
      <w:r w:rsidRPr="00FC0D1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A7CD1" w:rsidRPr="00FC0D14" w:rsidSect="00FC0D14">
      <w:pgSz w:w="11905" w:h="16838"/>
      <w:pgMar w:top="568" w:right="850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9B4"/>
    <w:multiLevelType w:val="hybridMultilevel"/>
    <w:tmpl w:val="73364D16"/>
    <w:lvl w:ilvl="0" w:tplc="C88427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D602B3"/>
    <w:multiLevelType w:val="hybridMultilevel"/>
    <w:tmpl w:val="DF9C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5DB3"/>
    <w:multiLevelType w:val="hybridMultilevel"/>
    <w:tmpl w:val="CB6CAC90"/>
    <w:lvl w:ilvl="0" w:tplc="F2E4CDAC">
      <w:start w:val="2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D1"/>
    <w:rsid w:val="005A7CD1"/>
    <w:rsid w:val="0062616B"/>
    <w:rsid w:val="007E3527"/>
    <w:rsid w:val="00B06895"/>
    <w:rsid w:val="00EF2F9E"/>
    <w:rsid w:val="00F00F51"/>
    <w:rsid w:val="00F055FE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16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A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7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16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2616B"/>
  </w:style>
  <w:style w:type="paragraph" w:styleId="a4">
    <w:name w:val="footer"/>
    <w:basedOn w:val="a"/>
    <w:link w:val="a5"/>
    <w:uiPriority w:val="99"/>
    <w:unhideWhenUsed/>
    <w:rsid w:val="006261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2616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16B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2616B"/>
  </w:style>
  <w:style w:type="character" w:styleId="a8">
    <w:name w:val="annotation reference"/>
    <w:uiPriority w:val="99"/>
    <w:semiHidden/>
    <w:unhideWhenUsed/>
    <w:rsid w:val="0062616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1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2616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1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16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62616B"/>
    <w:pPr>
      <w:spacing w:line="259" w:lineRule="auto"/>
      <w:outlineLvl w:val="9"/>
    </w:pPr>
    <w:rPr>
      <w:lang w:val="en-US"/>
    </w:rPr>
  </w:style>
  <w:style w:type="paragraph" w:styleId="ae">
    <w:name w:val="Revision"/>
    <w:hidden/>
    <w:uiPriority w:val="99"/>
    <w:semiHidden/>
    <w:rsid w:val="0062616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626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616B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62616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26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2616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2616B"/>
    <w:rPr>
      <w:vertAlign w:val="superscript"/>
    </w:rPr>
  </w:style>
  <w:style w:type="character" w:customStyle="1" w:styleId="af5">
    <w:name w:val="Название Знак"/>
    <w:link w:val="af6"/>
    <w:locked/>
    <w:rsid w:val="0062616B"/>
    <w:rPr>
      <w:b/>
      <w:bCs/>
      <w:sz w:val="28"/>
      <w:szCs w:val="24"/>
    </w:rPr>
  </w:style>
  <w:style w:type="paragraph" w:styleId="af6">
    <w:name w:val="Title"/>
    <w:basedOn w:val="a"/>
    <w:link w:val="af5"/>
    <w:qFormat/>
    <w:rsid w:val="0062616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2">
    <w:name w:val="Название Знак1"/>
    <w:basedOn w:val="a0"/>
    <w:uiPriority w:val="10"/>
    <w:rsid w:val="00626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7">
    <w:name w:val="Заголовок"/>
    <w:basedOn w:val="a"/>
    <w:rsid w:val="0062616B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header"/>
    <w:basedOn w:val="a"/>
    <w:link w:val="af9"/>
    <w:uiPriority w:val="99"/>
    <w:unhideWhenUsed/>
    <w:rsid w:val="006261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62616B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261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62616B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99"/>
    <w:semiHidden/>
    <w:unhideWhenUsed/>
    <w:rsid w:val="0062616B"/>
    <w:pPr>
      <w:spacing w:after="120"/>
    </w:pPr>
    <w:rPr>
      <w:rFonts w:ascii="Calibri" w:eastAsia="Calibri" w:hAnsi="Calibri" w:cs="Times New Roman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62616B"/>
    <w:rPr>
      <w:rFonts w:ascii="Calibri" w:eastAsia="Calibri" w:hAnsi="Calibri" w:cs="Times New Roman"/>
    </w:rPr>
  </w:style>
  <w:style w:type="table" w:customStyle="1" w:styleId="111">
    <w:name w:val="Сетка таблицы11"/>
    <w:basedOn w:val="a1"/>
    <w:next w:val="a3"/>
    <w:uiPriority w:val="59"/>
    <w:rsid w:val="0062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екст документа"/>
    <w:basedOn w:val="a"/>
    <w:rsid w:val="006261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2616B"/>
  </w:style>
  <w:style w:type="paragraph" w:customStyle="1" w:styleId="ConsPlusCell">
    <w:name w:val="ConsPlusCell"/>
    <w:rsid w:val="0062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2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16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A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7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16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2616B"/>
  </w:style>
  <w:style w:type="paragraph" w:styleId="a4">
    <w:name w:val="footer"/>
    <w:basedOn w:val="a"/>
    <w:link w:val="a5"/>
    <w:uiPriority w:val="99"/>
    <w:unhideWhenUsed/>
    <w:rsid w:val="006261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2616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16B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2616B"/>
  </w:style>
  <w:style w:type="character" w:styleId="a8">
    <w:name w:val="annotation reference"/>
    <w:uiPriority w:val="99"/>
    <w:semiHidden/>
    <w:unhideWhenUsed/>
    <w:rsid w:val="0062616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1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2616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1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16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62616B"/>
    <w:pPr>
      <w:spacing w:line="259" w:lineRule="auto"/>
      <w:outlineLvl w:val="9"/>
    </w:pPr>
    <w:rPr>
      <w:lang w:val="en-US"/>
    </w:rPr>
  </w:style>
  <w:style w:type="paragraph" w:styleId="ae">
    <w:name w:val="Revision"/>
    <w:hidden/>
    <w:uiPriority w:val="99"/>
    <w:semiHidden/>
    <w:rsid w:val="0062616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626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616B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62616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26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2616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2616B"/>
    <w:rPr>
      <w:vertAlign w:val="superscript"/>
    </w:rPr>
  </w:style>
  <w:style w:type="character" w:customStyle="1" w:styleId="af5">
    <w:name w:val="Название Знак"/>
    <w:link w:val="af6"/>
    <w:locked/>
    <w:rsid w:val="0062616B"/>
    <w:rPr>
      <w:b/>
      <w:bCs/>
      <w:sz w:val="28"/>
      <w:szCs w:val="24"/>
    </w:rPr>
  </w:style>
  <w:style w:type="paragraph" w:styleId="af6">
    <w:name w:val="Title"/>
    <w:basedOn w:val="a"/>
    <w:link w:val="af5"/>
    <w:qFormat/>
    <w:rsid w:val="0062616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2">
    <w:name w:val="Название Знак1"/>
    <w:basedOn w:val="a0"/>
    <w:uiPriority w:val="10"/>
    <w:rsid w:val="00626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7">
    <w:name w:val="Заголовок"/>
    <w:basedOn w:val="a"/>
    <w:rsid w:val="0062616B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header"/>
    <w:basedOn w:val="a"/>
    <w:link w:val="af9"/>
    <w:uiPriority w:val="99"/>
    <w:unhideWhenUsed/>
    <w:rsid w:val="006261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62616B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261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62616B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99"/>
    <w:semiHidden/>
    <w:unhideWhenUsed/>
    <w:rsid w:val="0062616B"/>
    <w:pPr>
      <w:spacing w:after="120"/>
    </w:pPr>
    <w:rPr>
      <w:rFonts w:ascii="Calibri" w:eastAsia="Calibri" w:hAnsi="Calibri" w:cs="Times New Roman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62616B"/>
    <w:rPr>
      <w:rFonts w:ascii="Calibri" w:eastAsia="Calibri" w:hAnsi="Calibri" w:cs="Times New Roman"/>
    </w:rPr>
  </w:style>
  <w:style w:type="table" w:customStyle="1" w:styleId="111">
    <w:name w:val="Сетка таблицы11"/>
    <w:basedOn w:val="a1"/>
    <w:next w:val="a3"/>
    <w:uiPriority w:val="59"/>
    <w:rsid w:val="0062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екст документа"/>
    <w:basedOn w:val="a"/>
    <w:rsid w:val="006261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2616B"/>
  </w:style>
  <w:style w:type="paragraph" w:customStyle="1" w:styleId="ConsPlusCell">
    <w:name w:val="ConsPlusCell"/>
    <w:rsid w:val="0062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2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23</Pages>
  <Words>7747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Дмитрий Сергеевич</dc:creator>
  <cp:lastModifiedBy>Зайцев Дмитрий Сергеевич</cp:lastModifiedBy>
  <cp:revision>1</cp:revision>
  <dcterms:created xsi:type="dcterms:W3CDTF">2021-02-01T11:13:00Z</dcterms:created>
  <dcterms:modified xsi:type="dcterms:W3CDTF">2021-02-01T12:20:00Z</dcterms:modified>
</cp:coreProperties>
</file>